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982" w:rsidRPr="00E960BB" w:rsidRDefault="00FF3982" w:rsidP="00FF398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FF3982" w:rsidRPr="009C54AE" w:rsidRDefault="00FF3982" w:rsidP="00FF39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F3982" w:rsidRPr="009C54AE" w:rsidRDefault="00FF3982" w:rsidP="00FF39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2022/2025</w:t>
      </w:r>
    </w:p>
    <w:p w:rsidR="00FF3982" w:rsidRDefault="00FF3982" w:rsidP="00FF398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FF3982" w:rsidRPr="00EA4832" w:rsidRDefault="00FF3982" w:rsidP="00FF398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2024/2025</w:t>
      </w:r>
    </w:p>
    <w:p w:rsidR="00FF3982" w:rsidRPr="009C54AE" w:rsidRDefault="00FF3982" w:rsidP="00FF3982">
      <w:pPr>
        <w:spacing w:after="0" w:line="240" w:lineRule="auto"/>
        <w:rPr>
          <w:rFonts w:ascii="Corbel" w:hAnsi="Corbel"/>
          <w:sz w:val="24"/>
          <w:szCs w:val="24"/>
        </w:rPr>
      </w:pPr>
    </w:p>
    <w:p w:rsidR="00FF3982" w:rsidRPr="009C54AE" w:rsidRDefault="00FF3982" w:rsidP="00FF398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F3982" w:rsidRPr="00D93FEC" w:rsidRDefault="00562A02" w:rsidP="00E11CF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Prawne aspekty działalności kulturalnej i medialnej</w:t>
            </w:r>
            <w:r w:rsidR="00FF3982" w:rsidRPr="00D93FEC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410AD0" w:rsidP="00E11CF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FF3982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FF39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C822A1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772D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822A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A4DA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 - Gos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F3982" w:rsidRPr="009C54AE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FF3982" w:rsidRPr="009C54AE" w:rsidRDefault="00FF3982" w:rsidP="00FF398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FF3982" w:rsidRPr="009C54AE" w:rsidRDefault="00FF3982" w:rsidP="00FF3982">
      <w:pPr>
        <w:pStyle w:val="Podpunkty"/>
        <w:ind w:left="0"/>
        <w:rPr>
          <w:rFonts w:ascii="Corbel" w:hAnsi="Corbel"/>
          <w:sz w:val="24"/>
          <w:szCs w:val="24"/>
        </w:rPr>
      </w:pPr>
    </w:p>
    <w:p w:rsidR="00FF3982" w:rsidRPr="009C54AE" w:rsidRDefault="00FF3982" w:rsidP="00FF398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F3982" w:rsidRPr="009C54AE" w:rsidRDefault="00FF3982" w:rsidP="00FF39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FF3982" w:rsidRPr="009C54AE" w:rsidTr="00B0021F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2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F3982" w:rsidRPr="009C54AE" w:rsidTr="00B0021F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F3982" w:rsidRPr="009C54AE" w:rsidRDefault="00FF3982" w:rsidP="00FF39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F3982" w:rsidRPr="009C54AE" w:rsidRDefault="00FF3982" w:rsidP="00FF398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F3982" w:rsidRPr="009C54AE" w:rsidRDefault="00FF3982" w:rsidP="00FF398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3982" w:rsidRPr="009C54AE" w:rsidRDefault="00FF3982" w:rsidP="00FF398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3FEC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FF3982" w:rsidRPr="009C54AE" w:rsidRDefault="00FF3982" w:rsidP="00FF398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F3982" w:rsidRPr="009C54AE" w:rsidRDefault="00FF3982" w:rsidP="00FF39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3982" w:rsidRDefault="00FF3982" w:rsidP="00B069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B069AB" w:rsidRDefault="00B069AB" w:rsidP="00FF3982">
      <w:pPr>
        <w:pStyle w:val="Punktygwne"/>
        <w:spacing w:before="0" w:after="0"/>
        <w:rPr>
          <w:rFonts w:ascii="Corbel" w:hAnsi="Corbel"/>
          <w:szCs w:val="24"/>
        </w:rPr>
      </w:pPr>
    </w:p>
    <w:p w:rsidR="00FF3982" w:rsidRPr="009C54AE" w:rsidRDefault="00FF3982" w:rsidP="00FF398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F3982" w:rsidRPr="009C54AE" w:rsidTr="00E11CF6">
        <w:tc>
          <w:tcPr>
            <w:tcW w:w="9670" w:type="dxa"/>
          </w:tcPr>
          <w:p w:rsidR="00FF3982" w:rsidRPr="009C54AE" w:rsidRDefault="00FF3982" w:rsidP="00E11CF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FF3982" w:rsidRPr="009C54AE" w:rsidRDefault="00FF3982" w:rsidP="00E11CF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4DAD">
              <w:rPr>
                <w:rFonts w:ascii="Corbel" w:hAnsi="Corbel"/>
              </w:rPr>
              <w:t>Student powinien posiadać wiedzę, umiejętności i kompetencje społeczne w zakresie przedmiotów z pedagogiki medialnej.</w:t>
            </w:r>
          </w:p>
        </w:tc>
      </w:tr>
    </w:tbl>
    <w:p w:rsidR="00FF3982" w:rsidRDefault="00FF3982" w:rsidP="00FF3982">
      <w:pPr>
        <w:pStyle w:val="Punktygwne"/>
        <w:spacing w:before="0" w:after="0"/>
        <w:rPr>
          <w:rFonts w:ascii="Corbel" w:hAnsi="Corbel"/>
          <w:szCs w:val="24"/>
        </w:rPr>
      </w:pPr>
    </w:p>
    <w:p w:rsidR="00FF3982" w:rsidRPr="00C05F44" w:rsidRDefault="00FF3982" w:rsidP="00FF398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FF3982" w:rsidRPr="00C05F44" w:rsidRDefault="00FF3982" w:rsidP="00FF3982">
      <w:pPr>
        <w:pStyle w:val="Punktygwne"/>
        <w:spacing w:before="0" w:after="0"/>
        <w:rPr>
          <w:rFonts w:ascii="Corbel" w:hAnsi="Corbel"/>
          <w:szCs w:val="24"/>
        </w:rPr>
      </w:pPr>
    </w:p>
    <w:p w:rsidR="00FF3982" w:rsidRPr="001A0597" w:rsidRDefault="00FF3982" w:rsidP="00FF3982">
      <w:pPr>
        <w:pStyle w:val="Standard"/>
        <w:suppressAutoHyphens w:val="0"/>
        <w:spacing w:before="280"/>
        <w:ind w:left="360"/>
        <w:jc w:val="both"/>
        <w:rPr>
          <w:rFonts w:ascii="Corbel" w:eastAsia="Times New Roman" w:hAnsi="Corbel" w:cs="Times New Roman"/>
          <w:b/>
          <w:bCs/>
          <w:lang w:eastAsia="en-US"/>
        </w:rPr>
      </w:pPr>
      <w:r w:rsidRPr="001A0597">
        <w:rPr>
          <w:rFonts w:ascii="Corbel" w:eastAsia="Times New Roman" w:hAnsi="Corbel" w:cs="Times New Roman"/>
          <w:b/>
          <w:bCs/>
          <w:lang w:eastAsia="en-US"/>
        </w:rPr>
        <w:t>3.1 Cele przedmiotu</w:t>
      </w:r>
    </w:p>
    <w:tbl>
      <w:tblPr>
        <w:tblW w:w="970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0"/>
        <w:gridCol w:w="9045"/>
      </w:tblGrid>
      <w:tr w:rsidR="00FF3982" w:rsidTr="005B0733">
        <w:tc>
          <w:tcPr>
            <w:tcW w:w="66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C1</w:t>
            </w:r>
          </w:p>
        </w:tc>
        <w:tc>
          <w:tcPr>
            <w:tcW w:w="90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Zapoznanie studentów z treścią podstawowych aktów prawnych z zakresu  działalności  kulturalnej  i medialnej</w:t>
            </w:r>
          </w:p>
        </w:tc>
      </w:tr>
      <w:tr w:rsidR="00FF3982" w:rsidTr="005B0733">
        <w:tc>
          <w:tcPr>
            <w:tcW w:w="66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C2</w:t>
            </w:r>
          </w:p>
        </w:tc>
        <w:tc>
          <w:tcPr>
            <w:tcW w:w="90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 w:after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Nabycie przez studentów umiejętności interpretacji podstawowych aktów prawnych</w:t>
            </w:r>
          </w:p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dotyczących  działalności  w sferach   kultury   w rozumieniu sensu  largo  oraz  działalności  za pośrednictwem  mediów  we  współczesnym  społeczeństwie  </w:t>
            </w:r>
          </w:p>
        </w:tc>
      </w:tr>
      <w:tr w:rsidR="00FF3982" w:rsidTr="005B0733">
        <w:tc>
          <w:tcPr>
            <w:tcW w:w="66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C3</w:t>
            </w:r>
          </w:p>
        </w:tc>
        <w:tc>
          <w:tcPr>
            <w:tcW w:w="90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Nabycie przez studentów umiejętności zastosowania w praktyce przepisów aktów prawnych  z zakresu  działalności  kulturalnej  I medialnej 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432"/>
        <w:rPr>
          <w:rFonts w:cs="Arial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3.2 </w:t>
      </w:r>
      <w:r w:rsidRPr="001A0597">
        <w:rPr>
          <w:rFonts w:ascii="Corbel" w:eastAsia="Times New Roman" w:hAnsi="Corbel" w:cs="Times New Roman"/>
          <w:b/>
          <w:bCs/>
          <w:lang w:eastAsia="en-US"/>
        </w:rPr>
        <w:t>Efekty kształcenia dla przedmiotu</w:t>
      </w:r>
    </w:p>
    <w:tbl>
      <w:tblPr>
        <w:tblW w:w="970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8"/>
        <w:gridCol w:w="6310"/>
        <w:gridCol w:w="1817"/>
      </w:tblGrid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EK</w:t>
            </w:r>
            <w:r>
              <w:rPr>
                <w:rFonts w:ascii="Corbel" w:eastAsia="Times New Roman" w:hAnsi="Corbel" w:cs="Corbel"/>
                <w:lang w:eastAsia="en-US"/>
              </w:rPr>
              <w:t xml:space="preserve"> ( efekt kształcenia)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Treść efektu kształcenia zdefiniowanego dla przedmiotu </w:t>
            </w:r>
          </w:p>
          <w:p w:rsidR="007A63D5" w:rsidRDefault="007A63D5" w:rsidP="007A63D5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STUDENT: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cs="Arial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Odniesienie do efektów kierunkowych </w:t>
            </w: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(KEK)</w:t>
            </w:r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</w:t>
            </w:r>
            <w:r>
              <w:rPr>
                <w:rFonts w:ascii="Corbel" w:eastAsia="Times New Roman" w:hAnsi="Corbel" w:cs="Corbel"/>
                <w:lang w:eastAsia="en-US"/>
              </w:rPr>
              <w:softHyphen/>
              <w:t>_01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Om</w:t>
            </w:r>
            <w:r w:rsidR="002472A7">
              <w:rPr>
                <w:rFonts w:ascii="Corbel" w:eastAsia="Times New Roman" w:hAnsi="Corbel" w:cs="Corbel"/>
                <w:lang w:eastAsia="en-US"/>
              </w:rPr>
              <w:t>ó</w:t>
            </w:r>
            <w:r>
              <w:rPr>
                <w:rFonts w:ascii="Corbel" w:eastAsia="Times New Roman" w:hAnsi="Corbel" w:cs="Corbel"/>
                <w:lang w:eastAsia="en-US"/>
              </w:rPr>
              <w:t xml:space="preserve">wi instytucje  życia społecznego oraz  zachodące  między nimi  relacje istotne z  perspektywy  działalności  kulturalnej </w:t>
            </w:r>
            <w:r w:rsidR="0009686E">
              <w:rPr>
                <w:rFonts w:ascii="Corbel" w:eastAsia="Times New Roman" w:hAnsi="Corbel" w:cs="Corbel"/>
                <w:lang w:eastAsia="en-US"/>
              </w:rPr>
              <w:br/>
            </w:r>
            <w:r>
              <w:rPr>
                <w:rFonts w:ascii="Corbel" w:eastAsia="Times New Roman" w:hAnsi="Corbel" w:cs="Corbel"/>
                <w:lang w:eastAsia="en-US"/>
              </w:rPr>
              <w:t xml:space="preserve"> i medialnej.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</w:t>
            </w:r>
            <w:r>
              <w:rPr>
                <w:rFonts w:ascii="Corbel" w:eastAsia="Times New Roman" w:hAnsi="Corbel" w:cs="Corbel"/>
                <w:lang w:eastAsia="en-US"/>
              </w:rPr>
              <w:t>W07</w:t>
            </w:r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EK_02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2472A7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Sc</w:t>
            </w:r>
            <w:r w:rsidR="00FF3982">
              <w:rPr>
                <w:rFonts w:ascii="Corbel" w:eastAsia="Times New Roman" w:hAnsi="Corbel" w:cs="Corbel"/>
                <w:lang w:eastAsia="en-US"/>
              </w:rPr>
              <w:t xml:space="preserve">harakteryzuje  zasady  i normy etyczne dotyczące  działalności  kulturalnej  i medialnej  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_W</w:t>
            </w:r>
            <w:r>
              <w:rPr>
                <w:rFonts w:ascii="Corbel" w:eastAsia="Times New Roman" w:hAnsi="Corbel" w:cs="Corbel"/>
                <w:lang w:eastAsia="en-US"/>
              </w:rPr>
              <w:t>13</w:t>
            </w:r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EK_03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Dokonuje analizy i interpretacji własnych  działań z  perspektywy aktualnie  obowiązujących  przepisów  prawa .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</w:t>
            </w:r>
            <w:r>
              <w:rPr>
                <w:rFonts w:ascii="Corbel" w:eastAsia="Times New Roman" w:hAnsi="Corbel" w:cs="Corbel"/>
                <w:lang w:eastAsia="en-US"/>
              </w:rPr>
              <w:t>U08</w:t>
            </w:r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EK_04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2472A7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Omówi</w:t>
            </w:r>
            <w:r w:rsidR="00FF3982">
              <w:rPr>
                <w:rFonts w:ascii="Corbel" w:eastAsia="Times New Roman" w:hAnsi="Corbel" w:cs="Corbel"/>
                <w:lang w:eastAsia="en-US"/>
              </w:rPr>
              <w:t xml:space="preserve"> zasad</w:t>
            </w:r>
            <w:r>
              <w:rPr>
                <w:rFonts w:ascii="Corbel" w:eastAsia="Times New Roman" w:hAnsi="Corbel" w:cs="Corbel"/>
                <w:lang w:eastAsia="en-US"/>
              </w:rPr>
              <w:t>y</w:t>
            </w:r>
            <w:r w:rsidR="00FF3982">
              <w:rPr>
                <w:rFonts w:ascii="Corbel" w:eastAsia="Times New Roman" w:hAnsi="Corbel" w:cs="Corbel"/>
                <w:lang w:eastAsia="en-US"/>
              </w:rPr>
              <w:t xml:space="preserve"> etyczn</w:t>
            </w:r>
            <w:r>
              <w:rPr>
                <w:rFonts w:ascii="Corbel" w:eastAsia="Times New Roman" w:hAnsi="Corbel" w:cs="Corbel"/>
                <w:lang w:eastAsia="en-US"/>
              </w:rPr>
              <w:t>e</w:t>
            </w:r>
            <w:r w:rsidR="00FF3982">
              <w:rPr>
                <w:rFonts w:ascii="Corbel" w:eastAsia="Times New Roman" w:hAnsi="Corbel" w:cs="Corbel"/>
                <w:lang w:eastAsia="en-US"/>
              </w:rPr>
              <w:t xml:space="preserve"> w działalności  kulturalnej  i medialnej.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</w:t>
            </w:r>
            <w:r>
              <w:rPr>
                <w:rFonts w:ascii="Corbel" w:eastAsia="Times New Roman" w:hAnsi="Corbel" w:cs="Corbel"/>
                <w:lang w:eastAsia="en-US"/>
              </w:rPr>
              <w:t>U06</w:t>
            </w:r>
            <w:bookmarkStart w:id="0" w:name="_GoBack"/>
            <w:bookmarkEnd w:id="0"/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EK_05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Dokon</w:t>
            </w:r>
            <w:r w:rsidR="008E23BA">
              <w:rPr>
                <w:rFonts w:ascii="Corbel" w:eastAsia="Times New Roman" w:hAnsi="Corbel" w:cs="Corbel"/>
                <w:lang w:eastAsia="en-US"/>
              </w:rPr>
              <w:t>a</w:t>
            </w:r>
            <w:r>
              <w:rPr>
                <w:rFonts w:ascii="Corbel" w:eastAsia="Times New Roman" w:hAnsi="Corbel" w:cs="Corbel"/>
                <w:lang w:eastAsia="en-US"/>
              </w:rPr>
              <w:t xml:space="preserve">  krytycznej  oceny  poziomu swojej wiedzy.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_K</w:t>
            </w:r>
            <w:r>
              <w:rPr>
                <w:rFonts w:ascii="Corbel" w:eastAsia="Times New Roman" w:hAnsi="Corbel" w:cs="Corbel"/>
                <w:lang w:eastAsia="en-US"/>
              </w:rPr>
              <w:t>01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 w:after="202"/>
        <w:ind w:left="432"/>
        <w:rPr>
          <w:rFonts w:cs="Arial"/>
        </w:rPr>
      </w:pPr>
      <w:r>
        <w:rPr>
          <w:rFonts w:ascii="Corbel" w:eastAsia="Times New Roman" w:hAnsi="Corbel" w:cs="Corbel"/>
          <w:b/>
          <w:bCs/>
          <w:lang w:eastAsia="en-US"/>
        </w:rPr>
        <w:t xml:space="preserve">3.3 Treści programowe </w:t>
      </w:r>
      <w:r>
        <w:rPr>
          <w:rFonts w:ascii="Corbel" w:eastAsia="Times New Roman" w:hAnsi="Corbel" w:cs="Corbel"/>
          <w:lang w:eastAsia="en-US"/>
        </w:rPr>
        <w:t>(</w:t>
      </w:r>
      <w:r>
        <w:rPr>
          <w:rFonts w:ascii="Corbel" w:eastAsia="Times New Roman" w:hAnsi="Corbel" w:cs="Corbel"/>
          <w:i/>
          <w:iCs/>
          <w:lang w:eastAsia="en-US"/>
        </w:rPr>
        <w:t>wypełnia koordynator)</w:t>
      </w:r>
    </w:p>
    <w:p w:rsidR="00FF3982" w:rsidRDefault="00FF3982" w:rsidP="00FF3982">
      <w:pPr>
        <w:pStyle w:val="Standard"/>
        <w:numPr>
          <w:ilvl w:val="0"/>
          <w:numId w:val="2"/>
        </w:numPr>
        <w:suppressAutoHyphens w:val="0"/>
        <w:spacing w:before="280" w:after="280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Problematyka wykładu</w:t>
      </w:r>
    </w:p>
    <w:tbl>
      <w:tblPr>
        <w:tblW w:w="9675" w:type="dxa"/>
        <w:tblInd w:w="-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75"/>
      </w:tblGrid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ind w:left="-245" w:firstLine="245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Treści merytoryczne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1.Prawo cywilne – zagadnienia  podstawowe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-definicja  osoby fizycznej  i osoby prawnej  i ich  podmiotowość  prawna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-podmiotowość  jednostki z perspektywy  praw  podmiotowych  publicznych  i prywatnych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>(dobra  osobiste) i formalnoprawne  gwarancje  ich  ochrony  na  gruncie aktualnie  obowiązujących   regulacji prawnych 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naruszenie  dóbr  osobistych  jako delikt cywilny  i przestępstwo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-stosunek  prawny – definicja, komponenty , dynamika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czynności  prawne jako podstawa  kreowania statusu  prawnego osoby fizycznej /prawnej – nabywania  uprawnień ( istota  praw  podmiotowych względnych ), zaciąganie zobowiązań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-zdolność do czynności  prawnych  i jej zróżnicowanie;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-czynności prawne ( zawarcie umowy,forma , wady oświadczenia woli,warunek ,przedstawicielstwo).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lastRenderedPageBreak/>
              <w:t>2.</w:t>
            </w:r>
            <w:r>
              <w:t xml:space="preserve"> Działalność kulturalna  w świetle  aktualnych  przepisów  prawa 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A.Działalność  kulturalna  i jej podstawa  prawna 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 -działalność  kulturalna  - definicja i  jej formy  organizacyjne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-podmioty  uprawnione  do  jej  prowadzenia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-organizacja instytucji  kultury  jako wypadkowa  polityki  kulturalnej na szczeblu centralnym , regionalnym  i  lokalnym  oraz  potrzeb społecznych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-państwo i jego mecenat ,samorządy , organizacje pozarządowe ich rola  i znaczenie w sferze tworzenia, upowszechniania  i rozwoju kultury  oraz  konsumpcji jej wytworów  przez  jej  odbiorców  ( państwowe  i samorządowe  instytucje  kultury , instytucje artystyczne  ich zróżnicowanie ).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Analiza przepisów – ustawy  z 25 października 1991 r. o organizowaniu  działalności  kulturalnej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B. Organizacja  imprez  masowych: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-uzyskanie zezwolenia  na organizację  imprezy masowej ,jako  legitymizacja  prawna  do jej realizacji;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-obowiązki organizatora  i uczestników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-utrwalanie  przebiegu  imprezy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-odpowiedzialność za szkody w związku z zabezpieczeniem  imprezy masowej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-obowiązek  ubezpieczenia  i odpowiedzialność  cywilnoprawna za szkodę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-służby wojskowe  i porządkowe (obowiązki i uprawnienia);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-odpowiedzialność  karna  uczestników  imprezy za zachowania stanowiące zagrożenie  dla  bezpieczeństwa  jej  przebiegu  (np. wnoszenie alkoholu, niewykonanie  poleceń  porzadkowych ,  zakłucenie  przebiegu  imprezy ).</w:t>
            </w:r>
          </w:p>
          <w:p w:rsidR="00FF3982" w:rsidRDefault="00FF3982" w:rsidP="00E11CF6">
            <w:pPr>
              <w:pStyle w:val="Standard"/>
              <w:suppressAutoHyphens w:val="0"/>
              <w:spacing w:before="115" w:after="115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t>Analiza  przepisów  ustawy z 20 marca 2009 roku  o bezpieczeństwie  imprez  masowych .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3.Jednostka jako twórca  dóbr  kulturowych -podstawowe  zagadnienia z  prawa  autorskiego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-definicja utworu i  jego zróżnicowanie  na gruncie  ustawy  o prawie autorskim i prawach pokrewnych 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-twórca  i jego prawa  osobiste  i  majątkowe;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-utwory samoistne i zależne – definicja , prawa  osobiste i majątkowe;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-współautorstwo utworów ( dowolnie wybrane  przykłady np. filmy  ,piosenki)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 xml:space="preserve">-prawa  pokrewne i ich  zróżnicowanie ( artystyczne  wykonanie , wideogram, fonogram – istota ,prawa  osobiste i  majątkowe )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-covery i  memy  i ich status  prawny ,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-ochrona wizerunku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Analiza  przepisów  ustawy z 4 lutego 1994  roku o prawie autorskim  i  prawach  pokrewnych</w:t>
            </w:r>
            <w:r>
              <w:rPr>
                <w:rFonts w:ascii="Corbel" w:hAnsi="Corbel"/>
              </w:rPr>
              <w:t xml:space="preserve">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   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lastRenderedPageBreak/>
              <w:t>4.Państwo  i prawo- zagadnienia  wprowadzające :</w:t>
            </w:r>
          </w:p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t>-państwo i jego funkcje;</w:t>
            </w:r>
          </w:p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t>-prawo i jego funkcje;</w:t>
            </w:r>
          </w:p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t>-prestiż  prawa  i jego  uwarunkowania;</w:t>
            </w:r>
          </w:p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t>-jednostka a państwo  jako organizacja  społeczeństwa RP – zasady ustrojowe ze szczególnym uwzględnieniem  idei trójpodziału władz , społeczeństwa  obywatelskiego , demokratycznego  państwa  prawa );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5.Polityka  medialna jako  publiczna   i urzędowa regulacja  działalności  medialnej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A.Polityka  medialna – zagadnienia  podstawowe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definicja   ,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-uwarunkowania 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-instrumenty;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-poziomy polityki medialnej (government -państwo,polityka wewnętrzna,governance- aktorzy prywatni, wpływ europejski  i globalny) 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-aktorzy  polityki  medialnej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obszary  polityki medialnej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B. Polityka  medialna państwa polskiego – zagadnienia szczególne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-media  a prawa człowieka w świetle  aktualnych regulacji  prawnych;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-media a prawa dziecka.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>C. Media, jako czwarta wladza – wymóg  obiektywności , a subiektywność  przekazu i jego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uwarunkowania. Etyka  odpowiedzialności.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 D. Działalność  medialna  - źródła  prawa  w Polsce 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 xml:space="preserve">6.Prawo prasowe jako regulator działalności  dziennikarskiej  i wydawniczej –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A. Zagadnienia  wprowadzające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-wyjaśnienie  pojęć  ustawowych (np. definicja  terminów takich ,jak : prasa materiał prasowy, dziennikarz, redaktor, wydawca 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-internet a prasa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-wolność  prasy  i jej ograniczenia (funkcje  prasy ,  definicja pojęcia “wolność  prasy” ,podmiot  I przedmiot wypowiedzi  oraz  jej forma , wypowiedzi  podlegajace  i niepodlegające ochronie, ograniczenia wolności  prasy ) ,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-tytuł prasowy jako dobro osobiste  i jego  ochrona 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B. Prawo  prasy do  informacji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definicja  pojęcia “informacja  publiczna “, podstawa  prawna, zakres podmiotowy “prawa  do informacji”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-zakres  przedmiotowy  ( uzyskanie  informacji , prawo wglądu do dokumentów  urzędowych, dostep do  posiedzeń  organów  władzy  publicznej);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-podmioty zobligowane  do  udostepniania  informacji  publicznej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-sposoby  udostepniania  informacji  publicznej;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-odmowa  udostępnienia  informacji  publicznej , a środki prawne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C. Ograniczenia dostępu  prasy  do informacji  publicznej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-podstawa  prawna (konstytucja, ustawa z 6 września 2001 roku  o dostępie do informacji  publicznej)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-ochrona  informacji  niejawnych, tajemnicy ustawowo-chronionej ,prywatności  osoby fizycznej ,tajemnicy  przedsiębiorcy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D. Prasa  a ochrona  danych  osobowych- gwarancje konstytucyjne  i ustawowe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-ograniczenia stosowania  ustawy  o ochronie danych osobowych (klauzula  prasowa, wyjątek dziennikarski, status osoby pełniącej funkcje  publiczne)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E. E.Dziennikarz i jego status  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-katalog obowiązków  dziennikarza ze szczególnym uwzględnieniem tajemnicy dziennikarskiej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 etyka dziennikarska  i jej paradygmaty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-Naczelny Sąd  Dziennikarski  a  naruszenie zasad  etycznych zawodu  dziennikarza  - katalog  sankcji  ( upomnienie, nagana ,czasowe zawieszenie w  prawach członka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SDP, usunięcie z SDP i ogłoszenie werdyktu w mediach 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F.Naruszenie dóbr  osobistych  osób  publicznych  przez media ( godność, dobre imię prywatność , wizerunek na gruncie  prawa cywilnego  , ochrona czci w prawie karnym -zniesławienie, znieważenie , dobra  osobiste  polityków  a kampanie wyborcze));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G. Krytyka prasowa a działalność  osób  publicznych – źródła  regulacji  prawnych , rodzaje  krytyki prasowej (naukowa, społeczno- polityczna , artystyczna), struktura  wypowiedzi  krytycznej i kryteria  jej legalności ( fakty, oceny) oraz  granic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H. Odpowiedzialność cywilna  i karna prasy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>-odpowiedzialność cywilna – zakres podmiotowy , roszczenia  i ich zróżnicowanie (majątkowe,niemajątkowe ), postępowanie ,okoliczności  wyłączajace   odpowiedzialność mediów 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-przestępstwa  prasowe (analiza  zagadnienia w  zależności  od potrzeb  i zainteresowań studentów)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 xml:space="preserve">6. Krajowa  Rada  Radiofonii  i Telewizji  i jej status  prawny : 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-pozycja Krajowej  Rady  Radiofonii i telewizji w strukturze  organów  państwa;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-kształtowanie  programów  radiowych  i telewizyjnych  przez nadawców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zadania publicznej  radiofonii  i telewizji;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-koncesje w zakresie  rozpowszechniania  programów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-audiowizualne usługi  medialne  na żądanie;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-odpowiedzialność  prawna za  naruszenie  przepisów z ustawy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Analiza  przepisów  ustawy z 29 grudnia 1992 roku o radiofionii i telewizji  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7.  Społeczeństwo  informacyjne  i “ społeczeństwo sieci “ a internet  jako  swoiste medium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internet  i jego specyfika;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-jednostka  jako kreator  “społeczeństwa  sieci “ w rozumieniu M.Castellsa z perspektywy twórcy i odbiorcy treści  kulturowych , a wolność wypowiedzi w  internecie;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-prawo autorskie w  internecie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-naruszenie  praw  autorskich w internecie;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cyberprzemoc z  perspektywy  prawa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</w:tc>
      </w:tr>
    </w:tbl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numPr>
          <w:ilvl w:val="0"/>
          <w:numId w:val="4"/>
        </w:numPr>
        <w:suppressAutoHyphens w:val="0"/>
        <w:spacing w:before="280" w:after="280"/>
        <w:rPr>
          <w:rFonts w:ascii="Corbel" w:eastAsia="Times New Roman" w:hAnsi="Corbel" w:cs="Corbel"/>
          <w:lang w:eastAsia="en-US"/>
        </w:rPr>
      </w:pPr>
      <w:r>
        <w:rPr>
          <w:rFonts w:ascii="Corbel" w:eastAsia="Times New Roman" w:hAnsi="Corbel" w:cs="Corbel"/>
          <w:lang w:eastAsia="en-US"/>
        </w:rPr>
        <w:t xml:space="preserve">Problematyka ćwiczeń audytoryjnych </w:t>
      </w:r>
    </w:p>
    <w:p w:rsidR="00FF3982" w:rsidRDefault="00FF3982" w:rsidP="00FF3982">
      <w:pPr>
        <w:pStyle w:val="Standard"/>
        <w:suppressAutoHyphens w:val="0"/>
        <w:spacing w:before="280" w:after="240"/>
        <w:ind w:left="720"/>
        <w:rPr>
          <w:rFonts w:ascii="Times New Roman" w:eastAsia="Times New Roman" w:hAnsi="Times New Roman" w:cs="Times New Roman"/>
          <w:lang w:eastAsia="en-US"/>
        </w:rPr>
      </w:pPr>
    </w:p>
    <w:tbl>
      <w:tblPr>
        <w:tblW w:w="967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75"/>
      </w:tblGrid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ind w:left="706" w:hanging="706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Treści merytoryczne</w:t>
            </w: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1.Prawo cywilne – zagadnienia  podstawowe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-definicja  osoby fizycznej  i osoby prawnej  i ich  podmiotowość  prawna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-podmiotowość  jednostki z perspektywy  praw  podmiotowych  publicznych  i prywatnych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(dobra  osobiste) i formalnoprawne  gwarancje  ich  ochrony  na  gruncie aktualnie  obowiązujących   regulacji prawnych 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-naruszenie  dóbr  osobistych  jako delikt cywilny  i przestępstwo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-stosunek  prawny – definicja, komponenty , dynamika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czynności  prawne jako podstawa  kreowania statusu  prawnego osoby fizycznej /prawnej – nabywania  uprawnień ( istota  praw  podmiotowych względnych ), zaciągania zobowiązań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-zdolność do czynności  prawnych  i jej zróżnicowanie 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Analiza zagadnień  w  oparciu  o formułowane  przez studentów  kazusy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  <w:rPr>
                <w:rFonts w:cs="Arial"/>
              </w:rPr>
            </w:pP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2. B. Organizacja  imprez  masowych: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lastRenderedPageBreak/>
              <w:t>-uzyskanie zezwolenia  na organizację  imprezy masowej ,jako  legitymizacja  prawna  do jej realizacji;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-obowiązki organizatora  i uczestników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-utrwalanie  przebiegu  imprezy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-odpowiedzialność za szkody w związku z zabezpieczeniem  imprezy masowej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-obowiązek  ubezpieczenia  i odpowiedzialność  cywilnoprawna za szkodę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-służby wojskowe  i porządkowe (obowiązki i uprawnienia);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-odpowiedzialność  karna  uczestników  imprezy za zachowania stanowiące zagrożenie  dla  bezpieczeństwa  jej  przebiegu  (np. wnoszenie alkoholu, niewykonanie  poleceń  porzadkowych ,za  zakłucenie  przebiegu  imprezy ).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Analiza zagadnień  w  oparciu  o formułowane  przez studentów  kazusy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>3.Jednostka jako twórca  dóbr  kulturowych -wybrane zagadnienia z  prawa  autorskiego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-definicja utworu i  jego zróżnicowanie  na gruncie  ustawy  o prawie autorskim i prawach pokrewnych 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-twórca  i jego prawa  osobiste  i  majątkowe;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-utwory samoistne i zależne – definicja , prawa  osobiste i majątkowe;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-współautorstwo utworów ( dowolnie wybrane  przykłady np. filmy  ,piosenki)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-prawa  pokrewne i ich  zróżnicowanie ( artystyczne  wykonanie , wideogram, fonogram – istota ,prawa  osobiste i  majątkowe )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-covery i  memy  i ich status  prawny ,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-ochrona wizerunku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Analiza zagadnień  w  oparciu  o formułowane  przez studentów  kazusy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4. Ustrój  państwa – reżim  polityczny  i  forma sprawowania władzy  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A. Organy władzy  i ich struktura .Zasada  trójpodziału władzy  i jej realizacja . 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     Władza  centralna a samorządy – wzajemne  relacje .</w:t>
            </w: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5.Prawo prasowe – wybrane przez studentów  zagadnienia  ze szczególnym uwzględnieniem wolności  prasy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Analiza  zagadnień  w  oparciu  o formułowane  przez studentów  kazusy </w:t>
            </w: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6.Polityka  medialna  państwa , a idea społeczeństwa  obywatelskiego i  demokratycznego  państwa  prawa .Partie  polityczne  i ich status : </w:t>
            </w:r>
          </w:p>
          <w:p w:rsidR="00FF3982" w:rsidRDefault="00FF3982" w:rsidP="00FF3982">
            <w:pPr>
              <w:pStyle w:val="Standard"/>
              <w:numPr>
                <w:ilvl w:val="0"/>
                <w:numId w:val="5"/>
              </w:numPr>
              <w:suppressAutoHyphens w:val="0"/>
              <w:snapToGrid w:val="0"/>
            </w:pPr>
            <w:r>
              <w:lastRenderedPageBreak/>
              <w:t>demokratyczne  państwo prawa  i jego realizacja  w  Polsce ;</w:t>
            </w:r>
          </w:p>
          <w:p w:rsidR="00FF3982" w:rsidRDefault="00FF3982" w:rsidP="00FF3982">
            <w:pPr>
              <w:pStyle w:val="Standard"/>
              <w:numPr>
                <w:ilvl w:val="0"/>
                <w:numId w:val="5"/>
              </w:numPr>
              <w:suppressAutoHyphens w:val="0"/>
              <w:snapToGrid w:val="0"/>
            </w:pPr>
            <w:r>
              <w:t>społeczeństwo  obywatelskie  i jego idee ze szczególnym  uwzględnieniem  pluralizmu  partii  politycznych  i organizacji trzeciego sektora ;</w:t>
            </w:r>
          </w:p>
          <w:p w:rsidR="00FF3982" w:rsidRDefault="00FF3982" w:rsidP="00FF3982">
            <w:pPr>
              <w:pStyle w:val="Standard"/>
              <w:numPr>
                <w:ilvl w:val="0"/>
                <w:numId w:val="5"/>
              </w:numPr>
              <w:suppressAutoHyphens w:val="0"/>
              <w:snapToGrid w:val="0"/>
            </w:pPr>
            <w:r>
              <w:t>Krajowa  Rada  Radiofonii  i Telewizji ;</w:t>
            </w:r>
          </w:p>
          <w:p w:rsidR="00FF3982" w:rsidRDefault="00FF3982" w:rsidP="00FF3982">
            <w:pPr>
              <w:pStyle w:val="Standard"/>
              <w:numPr>
                <w:ilvl w:val="0"/>
                <w:numId w:val="5"/>
              </w:numPr>
              <w:suppressAutoHyphens w:val="0"/>
              <w:snapToGrid w:val="0"/>
            </w:pPr>
            <w:r>
              <w:t>Rada Mediów  Narodowych.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Prezentacje studentów  i dyskusja  .</w:t>
            </w: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lastRenderedPageBreak/>
              <w:t>7.</w:t>
            </w:r>
            <w:r>
              <w:rPr>
                <w:rFonts w:eastAsia="Times New Roman" w:cs="Times New Roman"/>
                <w:lang w:eastAsia="en-US"/>
              </w:rPr>
              <w:t xml:space="preserve">   Społeczeństwo  informacyjne  i “ społeczeństwo sieci “ a internet  jako  swoiste medium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internet  i jego specyfika;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-jednostka  jako kreator  “społeczeństwa  sieci “ w rozumieniu M.Castellsa z perspektywy twórcy i odbiorcy treści  kulturowych , a wolność wypowiedzi w  internecie;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-prawo autorskie w  internecie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-naruszenie  praw  autorskich w internecie;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cyberprzemoc z  perspektywy  prawa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432"/>
        <w:rPr>
          <w:rFonts w:cs="Arial"/>
        </w:rPr>
      </w:pPr>
      <w:r>
        <w:rPr>
          <w:rFonts w:ascii="Corbel" w:eastAsia="Times New Roman" w:hAnsi="Corbel" w:cs="Corbel"/>
          <w:b/>
          <w:bCs/>
          <w:lang w:eastAsia="en-US"/>
        </w:rPr>
        <w:t>3.4 Metody dydaktyczne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i/>
          <w:iCs/>
          <w:sz w:val="20"/>
          <w:szCs w:val="20"/>
          <w:lang w:eastAsia="en-US"/>
        </w:rPr>
      </w:pPr>
      <w:r>
        <w:rPr>
          <w:rFonts w:ascii="Corbel" w:eastAsia="Times New Roman" w:hAnsi="Corbel" w:cs="Corbel"/>
          <w:i/>
          <w:iCs/>
          <w:sz w:val="20"/>
          <w:szCs w:val="20"/>
          <w:lang w:eastAsia="en-US"/>
        </w:rPr>
        <w:t xml:space="preserve">Wykład : wykład  problemowy , analiza  treści aktów  prawnych 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i/>
          <w:iCs/>
          <w:sz w:val="20"/>
          <w:szCs w:val="20"/>
          <w:lang w:eastAsia="en-US"/>
        </w:rPr>
      </w:pPr>
      <w:r>
        <w:rPr>
          <w:rFonts w:ascii="Corbel" w:eastAsia="Times New Roman" w:hAnsi="Corbel" w:cs="Corbel"/>
          <w:i/>
          <w:iCs/>
          <w:sz w:val="20"/>
          <w:szCs w:val="20"/>
          <w:lang w:eastAsia="en-US"/>
        </w:rPr>
        <w:t>Ćwiczenia  : analiza treści aktów  prawnych , dyskusja , praca w grupach , formułowanie  I interpretacja  kazusów .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  <w:r>
        <w:rPr>
          <w:rFonts w:ascii="Corbel" w:eastAsia="Times New Roman" w:hAnsi="Corbel" w:cs="Corbel"/>
          <w:b/>
          <w:bCs/>
          <w:lang w:eastAsia="en-US"/>
        </w:rPr>
        <w:t>4. METODY I KRYTERIA OCENY</w:t>
      </w:r>
    </w:p>
    <w:p w:rsidR="00FF3982" w:rsidRPr="002345BD" w:rsidRDefault="00FF3982" w:rsidP="00FF3982">
      <w:pPr>
        <w:pStyle w:val="Standard"/>
        <w:suppressAutoHyphens w:val="0"/>
        <w:spacing w:before="280"/>
        <w:ind w:left="432"/>
        <w:rPr>
          <w:rFonts w:ascii="Corbel" w:eastAsia="Times New Roman" w:hAnsi="Corbel" w:cs="Times New Roman"/>
          <w:b/>
          <w:bCs/>
          <w:lang w:eastAsia="en-US"/>
        </w:rPr>
      </w:pPr>
      <w:r w:rsidRPr="002345BD">
        <w:rPr>
          <w:rFonts w:ascii="Corbel" w:eastAsia="Times New Roman" w:hAnsi="Corbel" w:cs="Times New Roman"/>
          <w:b/>
          <w:bCs/>
          <w:lang w:eastAsia="en-US"/>
        </w:rPr>
        <w:t>4.1 Sposoby weryfikacji efektów kształcenia</w:t>
      </w:r>
    </w:p>
    <w:tbl>
      <w:tblPr>
        <w:tblW w:w="9675" w:type="dxa"/>
        <w:tblInd w:w="-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1"/>
        <w:gridCol w:w="5249"/>
        <w:gridCol w:w="2075"/>
      </w:tblGrid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Symbol efektu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color w:val="000000"/>
                <w:lang w:eastAsia="en-US"/>
              </w:rPr>
            </w:pPr>
            <w:r>
              <w:rPr>
                <w:rFonts w:ascii="Corbel" w:eastAsia="Times New Roman" w:hAnsi="Corbel" w:cs="Corbel"/>
                <w:color w:val="000000"/>
                <w:lang w:eastAsia="en-US"/>
              </w:rPr>
              <w:t>Metody oceny efektów kształcenia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jc w:val="center"/>
              <w:rPr>
                <w:rFonts w:ascii="Corbel" w:eastAsia="Times New Roman" w:hAnsi="Corbel" w:cs="Corbel"/>
                <w:color w:val="000000"/>
                <w:lang w:eastAsia="en-US"/>
              </w:rPr>
            </w:pPr>
            <w:r>
              <w:rPr>
                <w:rFonts w:ascii="Corbel" w:eastAsia="Times New Roman" w:hAnsi="Corbel" w:cs="Corbel"/>
                <w:color w:val="000000"/>
                <w:lang w:eastAsia="en-US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Forma zajęć dydaktycznych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jc w:val="center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(w, ćw, …)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 01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Kolokwium 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ćwiczenia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wykład 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aktywności  w dyskusji 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ćwiczenia 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EK_03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aktywności  w dyskusji 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ćwiczenia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 04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 aktywności w dyskusji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ćwiczenia 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lastRenderedPageBreak/>
              <w:t>EK_05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Kolokwium 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 ćwiczenia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wykład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ind w:left="432"/>
        <w:rPr>
          <w:rFonts w:ascii="Corbel" w:eastAsia="Times New Roman" w:hAnsi="Corbel" w:cs="Corbel"/>
          <w:b/>
          <w:bCs/>
          <w:lang w:eastAsia="en-US"/>
        </w:rPr>
      </w:pPr>
      <w:r>
        <w:rPr>
          <w:rFonts w:ascii="Corbel" w:eastAsia="Times New Roman" w:hAnsi="Corbel" w:cs="Corbel"/>
          <w:b/>
          <w:bCs/>
          <w:lang w:eastAsia="en-US"/>
        </w:rPr>
        <w:t>4.2 Warunki zaliczenia przedmiotu (kryteria oceniania)</w:t>
      </w:r>
    </w:p>
    <w:p w:rsidR="00FF3982" w:rsidRDefault="00FF3982" w:rsidP="00FF3982">
      <w:pPr>
        <w:pStyle w:val="Standard"/>
        <w:suppressAutoHyphens w:val="0"/>
        <w:spacing w:before="280"/>
        <w:ind w:left="432"/>
        <w:rPr>
          <w:rFonts w:ascii="Times New Roman" w:eastAsia="Times New Roman" w:hAnsi="Times New Roman" w:cs="Times New Roman"/>
          <w:lang w:eastAsia="en-US"/>
        </w:rPr>
      </w:pPr>
    </w:p>
    <w:tbl>
      <w:tblPr>
        <w:tblW w:w="970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5"/>
      </w:tblGrid>
      <w:tr w:rsidR="00FF3982" w:rsidTr="002345BD">
        <w:tc>
          <w:tcPr>
            <w:tcW w:w="970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Aktywność  na zajęciach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Pozytywna  ocean  formułowanych  kazusów i ich interpretacji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Uzyskanie  pozytywnej  oceny z  kolokwium .  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 w:after="202"/>
        <w:ind w:left="288" w:hanging="288"/>
        <w:rPr>
          <w:rFonts w:ascii="Corbel" w:eastAsia="Times New Roman" w:hAnsi="Corbel" w:cs="Corbel"/>
          <w:b/>
          <w:bCs/>
          <w:color w:val="000000"/>
          <w:lang w:eastAsia="en-US"/>
        </w:rPr>
      </w:pPr>
      <w:r>
        <w:rPr>
          <w:rFonts w:ascii="Corbel" w:eastAsia="Times New Roman" w:hAnsi="Corbel" w:cs="Corbel"/>
          <w:b/>
          <w:bCs/>
          <w:color w:val="000000"/>
          <w:lang w:eastAsia="en-US"/>
        </w:rPr>
        <w:t>5. CAŁKOWITY NAKŁAD PRACY STUDENTA POTRZEBNY DO OSIĄGNIĘCIA ZAŁOŻONYCH EFEKTÓW W GODZINACH ORAZ PUNKTACH ECTS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tbl>
      <w:tblPr>
        <w:tblW w:w="967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2"/>
        <w:gridCol w:w="4703"/>
      </w:tblGrid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b/>
                <w:bCs/>
                <w:lang w:eastAsia="en-US"/>
              </w:rPr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Forma aktywności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b/>
                <w:bCs/>
                <w:lang w:eastAsia="en-US"/>
              </w:rPr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Średnia liczba godzin na zrealizowanie aktywności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Godziny kontaktowe wynikające planu z studiów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30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Inne z udziałem nauczyciela -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udział w konsultacjach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3308E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10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Godziny niekontaktowe – praca własna studenta- przygotowanie  się   do  </w:t>
            </w:r>
            <w:r w:rsidR="008E276C">
              <w:rPr>
                <w:rFonts w:ascii="Corbel" w:eastAsia="Times New Roman" w:hAnsi="Corbel" w:cs="Corbel"/>
                <w:lang w:eastAsia="en-US"/>
              </w:rPr>
              <w:t>kolokwium, przygotowanie się do zajęć, przygotowanie kazusów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1</w:t>
            </w:r>
            <w:r w:rsidR="005C115D">
              <w:rPr>
                <w:rFonts w:ascii="Corbel" w:eastAsia="Times New Roman" w:hAnsi="Corbel" w:cs="Corbel"/>
                <w:lang w:eastAsia="en-US"/>
              </w:rPr>
              <w:t>0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SUMA GODZIN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5</w:t>
            </w:r>
            <w:r w:rsidR="005C115D">
              <w:rPr>
                <w:rFonts w:ascii="Corbel" w:eastAsia="Times New Roman" w:hAnsi="Corbel" w:cs="Corbel"/>
                <w:lang w:eastAsia="en-US"/>
              </w:rPr>
              <w:t>0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b/>
                <w:bCs/>
                <w:lang w:eastAsia="en-US"/>
              </w:rPr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SUMARYCZNA LICZBA PUNKTÓW ECTS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b/>
                <w:bCs/>
                <w:lang w:eastAsia="en-US"/>
              </w:rPr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2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432"/>
        <w:rPr>
          <w:rFonts w:ascii="Corbel" w:eastAsia="Times New Roman" w:hAnsi="Corbel" w:cs="Corbel"/>
          <w:i/>
          <w:iCs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  <w:r>
        <w:rPr>
          <w:rFonts w:ascii="Corbel" w:eastAsia="Times New Roman" w:hAnsi="Corbel" w:cs="Corbel"/>
          <w:b/>
          <w:bCs/>
          <w:lang w:eastAsia="en-US"/>
        </w:rPr>
        <w:t>6. PRAKTYKI ZAWODOWE W RAMACH PRZEDMIOTU/ MODUŁU</w:t>
      </w:r>
    </w:p>
    <w:p w:rsidR="00FF3982" w:rsidRDefault="00FF3982" w:rsidP="00FF3982">
      <w:pPr>
        <w:pStyle w:val="Standard"/>
        <w:suppressAutoHyphens w:val="0"/>
        <w:spacing w:before="280"/>
        <w:ind w:left="360"/>
        <w:rPr>
          <w:rFonts w:ascii="Times New Roman" w:eastAsia="Times New Roman" w:hAnsi="Times New Roman" w:cs="Times New Roman"/>
          <w:lang w:eastAsia="en-US"/>
        </w:rPr>
      </w:pPr>
    </w:p>
    <w:tbl>
      <w:tblPr>
        <w:tblW w:w="7560" w:type="dxa"/>
        <w:tblInd w:w="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3"/>
        <w:gridCol w:w="4027"/>
      </w:tblGrid>
      <w:tr w:rsidR="00FF3982" w:rsidTr="002345BD">
        <w:trPr>
          <w:trHeight w:val="16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line="165" w:lineRule="atLeast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lastRenderedPageBreak/>
              <w:t>wymiar godzinowy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line="165" w:lineRule="atLeast"/>
              <w:rPr>
                <w:rFonts w:ascii="Corbel" w:eastAsia="Times New Roman" w:hAnsi="Corbel" w:cs="Corbel"/>
                <w:color w:val="000000"/>
                <w:lang w:eastAsia="en-US"/>
              </w:rPr>
            </w:pPr>
            <w:r>
              <w:rPr>
                <w:rFonts w:ascii="Corbel" w:eastAsia="Times New Roman" w:hAnsi="Corbel" w:cs="Corbel"/>
                <w:color w:val="000000"/>
                <w:lang w:eastAsia="en-US"/>
              </w:rPr>
              <w:t>Nie dotyczy</w:t>
            </w:r>
          </w:p>
        </w:tc>
      </w:tr>
      <w:tr w:rsidR="00FF3982" w:rsidTr="002345BD">
        <w:trPr>
          <w:trHeight w:val="16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line="165" w:lineRule="atLeast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zasady i formy odbywania praktyk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line="165" w:lineRule="atLeast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Nie dotyczy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36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  <w:r>
        <w:rPr>
          <w:rFonts w:ascii="Corbel" w:eastAsia="Times New Roman" w:hAnsi="Corbel" w:cs="Corbel"/>
          <w:b/>
          <w:bCs/>
          <w:lang w:eastAsia="en-US"/>
        </w:rPr>
        <w:t>7. LITERATURA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tbl>
      <w:tblPr>
        <w:tblW w:w="7620" w:type="dxa"/>
        <w:tblInd w:w="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20"/>
      </w:tblGrid>
      <w:tr w:rsidR="00FF3982" w:rsidTr="002345BD">
        <w:trPr>
          <w:trHeight w:val="16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Literatura podstawowa: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-L.Garlicki , Polskie  prawo konstytucyjne.Zarys  wykładu , Wydawnictwo Wolters Kluwer , Warszawa  2021 ,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-Nauka  o państwie  i prawie. Wybrane  zagadnienia ( red.S. Grabowska), Wydawnictwo Uniwersytetu Rzeszowskiego , Rzeszów 2017,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 konstytucja RP z 2 kwietnia 1997 r. ( tekst  ujednolicony Dz.U.nr 78, poz.483, 2001 r. Nr 28 poz.319);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 ustawa z 23 kwietnia 1964 r. kodeks cywilny ( tekst ujednolicony: Dz.U.2020 r. , poz.1740,2320, 2021r. poz.1509,24559);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-M.Wysocki , Kodeks cywilny. Skrypt z tekstu ustawy .Część ogólna, Wydawnictwo Lex Manual  2022 ( e-book);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 kodeks karny z 6 czerwca 1997 roku (Dz. U. 2021 r., poz. 2345, 2447 );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hAnsi="Corbel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</w:t>
            </w:r>
            <w:r>
              <w:rPr>
                <w:rFonts w:ascii="Corbel" w:hAnsi="Corbel"/>
              </w:rPr>
              <w:t xml:space="preserve"> ustawa z 4 lutego 1994 roku o  prawie  autorskim  i prawach  pokrewnych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 tekst  ujednolicony :Dz.U.2021 r.,poz.1062);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ascii="Corbel" w:hAnsi="Corbel"/>
              </w:rPr>
              <w:t>-A.Niewęgłowski,Prawo autorskie.Komentarz ,Wydawnictwo Wolters  Kluwer ,Warszawa 2021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z 25 października 1991  o organizowaniu i prowadzeniu działalności kulturalnej (tekst ujednolicony : Dz .U. 2020 r. ,poz.194);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z 20 marca 2009 roku o bezpieczeństwie  imprez  masowych (tekst  ujednolicony : Dz. U. 2019 r., poz.2170);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z 26 stycznia 1984 roku prawo prasowe ( tekst  ujednolicony: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Dz.U.2018,poz. 1914);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 ustawa  o radiofonii i telewizji z 29 grudnia1992 roku ( tekst  ujednolicony:Dz.U.2020r.,poz.805);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z 11 sierpnia 2021 roku o zmianie ustawy o radiofonii i telewizji oraz  ustawy  o kinematografii ( Dz .U. 2021,poz.1676 );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- </w:t>
            </w:r>
            <w:r>
              <w:rPr>
                <w:rFonts w:eastAsia="Times New Roman" w:cs="Times New Roman"/>
                <w:color w:val="00000A"/>
                <w:lang w:val="de-DE" w:eastAsia="en-US"/>
              </w:rPr>
              <w:t>S .Gajewski, A. Jakubowski , Ustawa o organizowaniu i prowadzeniu dzialalności kulturalnej.komentarz,Wydawnictwo C.Ch.Beck ,Warszawa 2016r.;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-E. Stasiak- Jazurkiewicz ,M. Jas- Koziarkiewicz , Polityka  medialna w Unii Europejskiej  , Wydawnictwo Poltext, Warszawa 2011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</w:t>
            </w:r>
            <w:r>
              <w:rPr>
                <w:rFonts w:eastAsia="Times New Roman" w:cs="Times New Roman"/>
                <w:color w:val="00000A"/>
                <w:lang w:val="de-DE" w:eastAsia="en-US"/>
              </w:rPr>
              <w:t>J. Hołda, Z.Hołda D. Ostrowska, , Prawne  podstawy działalności  medialnej , e-book</w:t>
            </w:r>
          </w:p>
          <w:p w:rsidR="00FF3982" w:rsidRPr="00152387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</w:t>
            </w: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J. Sieńczyło – Chlabicz, Z. Zawadzka, M. Nowikowska ,  Prawo prasowe , Wydawnictwo Wolters Kluwer , Warszawa  2019 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lastRenderedPageBreak/>
              <w:t>-Ustawa o radiofonii i telewizji.Komentarz  ( red. A.Niewęgłowski ), Wydawnictwo Wolters  Kluwer, Warszawa 2020 ;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 Kodeks  Etyki Dziennikarskiej  Stowarzyszenia  Dziennikarzy  Polskich ,</w:t>
            </w:r>
            <w:r>
              <w:t xml:space="preserve"> </w:t>
            </w:r>
            <w:r w:rsidRPr="00917886">
              <w:rPr>
                <w:rFonts w:eastAsia="Times New Roman" w:cs="Times New Roman"/>
                <w:lang w:val="de-DE" w:eastAsia="en-US"/>
              </w:rPr>
              <w:t>https://sdpwarszawa.pl/dokumenty/kodeks-etyki-dziennikarskiej/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-M. Chrzanowski , A.Niewęgłowski , Internet, a prawo  autorskie , Wydawnictwo UMcS ,Lublin  2016 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-A.Guza  , Aspekty  prawne  cyberprzemocy , </w:t>
            </w:r>
            <w:r w:rsidRPr="00917886">
              <w:rPr>
                <w:rFonts w:eastAsia="Times New Roman" w:cs="Times New Roman"/>
                <w:lang w:val="de-DE" w:eastAsia="en-US"/>
              </w:rPr>
              <w:t>https://cloud8n.edupage.org/cloud/PRAWNE_ASPEKTY_CYBERPRZEMOCY_%281%29.pdf?z%3A28Lg0STEOCRb1XSwR6O%2FLy%2FhVGzSoHwyGjPid0CuATsFZvq%2BqhvcVKWby%2BvT8FZx</w:t>
            </w: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 ;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eastAsia="en-US"/>
              </w:rPr>
            </w:pPr>
          </w:p>
        </w:tc>
      </w:tr>
      <w:tr w:rsidR="00FF3982" w:rsidTr="002345BD">
        <w:trPr>
          <w:trHeight w:val="16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lastRenderedPageBreak/>
              <w:t xml:space="preserve">Literatura uzupełniająca: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Kodeks cywilny.Komentarz .T.I Część ogólna (red. J. Gudowski);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Wydawnictwo Wolters  Kluwer .Warszawa 2021;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- ustawa z 6 września 2001roku  o dostępie do informacji  publicznej( tekst  ujednolicony : Dz. U. 2020 r. , poz. 2176)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-ustawa  prawo telekomunikacyjne z 16 lipca 2004 roku  ( tekst ujednolicony : Dz. U. 2020, poz.576);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-ustawa  z 21kwietnia 2005 roku  o opłatach abonamentowych ( tekst  ujednolicony Dz. U. 2020 r..poz.1689);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 -ustawa z  dnia 27 czerwca 1997 r.  o partiach  politycznych ( tekst  ujednolicony :DZ.U.2022 , poz.372 );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 ustawa  o Radzie Mediów  Narodowych  z 22czerwca 2016 r.,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( Dz. U. 2016 r.,poz. 929);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-ustawa z 30 czerwca 2011 roku  o wdrożeniu naziemnej telewizji cyfrowej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(Dz. U. 2016 r., poz.649 );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-Kodeks  karny.Komentarz (red. M.Mozgawa ),Wydawnictwo Wolters Kluwer, Warszawa 2021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-P. Ślęzak ,Prawo  autorskie.Wzory  umów z  komentarzem , Wydawnictwo Wolters  Kluwer , Warszawa 2021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-M. Castells ,Spoleczeństwo sieci , Wydawnictwo Naukowe  PWN, Warszawa 2008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-A. Demczuk , Wolność wypowiedzi w społeczeństwie  informacyjnym ,Wydawnictwo UMCS ,Lublin 2021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M. Kowalczuk-Szymańska ,O. Szteinert -Roszak , Naruszenie  praw  autorskich w internecine. Aspekty prawne  i tryb  dochodzenia  roszczeń, Wydawnictwo  Diffin , Warszawa 2011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X. Konarski , Nowe  obowiązki  usług  internetowych w prawie  polskim  I Unii Europejskiej  , </w:t>
            </w:r>
            <w:r w:rsidRPr="00917886">
              <w:rPr>
                <w:rFonts w:ascii="Corbel" w:eastAsia="Times New Roman" w:hAnsi="Corbel" w:cs="Corbel"/>
                <w:lang w:eastAsia="en-US"/>
              </w:rPr>
              <w:t>https://iuscase.pl/nowe-obowiazki-dostawcow-uslug-internetowych-w-prawie-polskim-i-unii-europejskiej/</w:t>
            </w:r>
            <w:r>
              <w:rPr>
                <w:rFonts w:ascii="Corbel" w:eastAsia="Times New Roman" w:hAnsi="Corbel" w:cs="Corbel"/>
                <w:lang w:eastAsia="en-US"/>
              </w:rPr>
              <w:t xml:space="preserve">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lastRenderedPageBreak/>
              <w:t>-Międzynarodowy kodeks Etyki Dziennikarskiej Paryż 1983 r. ,</w:t>
            </w:r>
            <w:r>
              <w:t xml:space="preserve"> </w:t>
            </w:r>
            <w:r w:rsidRPr="00917886">
              <w:rPr>
                <w:rFonts w:ascii="Corbel" w:eastAsia="Times New Roman" w:hAnsi="Corbel" w:cs="Corbel"/>
                <w:lang w:eastAsia="en-US"/>
              </w:rPr>
              <w:t>https://www.proto.pl/sites/default/files/poradyKartapraktyczne/pliki/miedzynarodowy_kodeks_etyki_public_relations.pdf</w:t>
            </w:r>
            <w:r>
              <w:rPr>
                <w:rFonts w:ascii="Corbel" w:eastAsia="Times New Roman" w:hAnsi="Corbel" w:cs="Corbel"/>
                <w:lang w:eastAsia="en-US"/>
              </w:rPr>
              <w:t>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- Karta Etyczna  Mediów  z 29 marca 1995 r., </w:t>
            </w:r>
            <w:r w:rsidRPr="00917886">
              <w:rPr>
                <w:rFonts w:ascii="Corbel" w:eastAsia="Times New Roman" w:hAnsi="Corbel" w:cs="Corbel"/>
                <w:lang w:eastAsia="en-US"/>
              </w:rPr>
              <w:t>http://www.dziennikarzerp.pl/wp-content/uploads/2010/06/karta_dziennikarzy.pdf</w:t>
            </w:r>
            <w:r>
              <w:rPr>
                <w:rFonts w:ascii="Corbel" w:eastAsia="Times New Roman" w:hAnsi="Corbel" w:cs="Corbel"/>
                <w:lang w:eastAsia="en-US"/>
              </w:rPr>
              <w:t>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-A. Pieniążek, M. Stefaniuk , Socjologia  prawa.Zarys wykładu   Wydawnictwo Wolters  Kluwer ,Warszawa 2021 (e-book);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 A. Kojder, Z. Cywiński, Socjologia  prawa .Główne  problemy i postacie, Wydawnictwo Uniwersyttu Warszawskiego, Warszawa 2014;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-“Kultura  (nie)odpowiedzialności ). Społeczne  konteksty zaniechanej cnoty” ( red. M .Bogunia-Borowska) , Wydawnictwo Naukowe  PWN, Warszawa  2021;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spacing w:before="280" w:after="115" w:line="165" w:lineRule="atLeast"/>
              <w:rPr>
                <w:rFonts w:eastAsia="Times New Roman" w:cs="Times New Roman"/>
                <w:lang w:eastAsia="en-US"/>
              </w:rPr>
            </w:pP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360"/>
        <w:rPr>
          <w:rFonts w:ascii="Corbel" w:eastAsia="Times New Roman" w:hAnsi="Corbel" w:cs="Corbel"/>
          <w:lang w:eastAsia="en-US"/>
        </w:rPr>
      </w:pPr>
      <w:r>
        <w:rPr>
          <w:rFonts w:ascii="Corbel" w:eastAsia="Times New Roman" w:hAnsi="Corbel" w:cs="Corbel"/>
          <w:lang w:eastAsia="en-US"/>
        </w:rPr>
        <w:lastRenderedPageBreak/>
        <w:t>Akceptacja Kierownika Jednostki lub osoby upoważnionej</w:t>
      </w:r>
    </w:p>
    <w:p w:rsidR="00594D1D" w:rsidRDefault="00594D1D"/>
    <w:sectPr w:rsidR="00594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4953C3"/>
    <w:multiLevelType w:val="multilevel"/>
    <w:tmpl w:val="38546A78"/>
    <w:styleLink w:val="WW8Num3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5F0517C2"/>
    <w:multiLevelType w:val="multilevel"/>
    <w:tmpl w:val="5344B3FC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697C0147"/>
    <w:multiLevelType w:val="hybridMultilevel"/>
    <w:tmpl w:val="6A20A744"/>
    <w:lvl w:ilvl="0" w:tplc="D28E3D4E">
      <w:start w:val="6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82"/>
    <w:rsid w:val="0009686E"/>
    <w:rsid w:val="000A007E"/>
    <w:rsid w:val="001A0597"/>
    <w:rsid w:val="002345BD"/>
    <w:rsid w:val="002472A7"/>
    <w:rsid w:val="002F6654"/>
    <w:rsid w:val="003308E2"/>
    <w:rsid w:val="00410AD0"/>
    <w:rsid w:val="004F24F1"/>
    <w:rsid w:val="00562A02"/>
    <w:rsid w:val="00594D1D"/>
    <w:rsid w:val="005B0733"/>
    <w:rsid w:val="005C115D"/>
    <w:rsid w:val="006615B6"/>
    <w:rsid w:val="007A63D5"/>
    <w:rsid w:val="0082417F"/>
    <w:rsid w:val="008E23BA"/>
    <w:rsid w:val="008E276C"/>
    <w:rsid w:val="00917886"/>
    <w:rsid w:val="00B0021F"/>
    <w:rsid w:val="00B069AB"/>
    <w:rsid w:val="00C77087"/>
    <w:rsid w:val="00C822A1"/>
    <w:rsid w:val="00D17512"/>
    <w:rsid w:val="00D772DE"/>
    <w:rsid w:val="00FF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6472"/>
  <w15:chartTrackingRefBased/>
  <w15:docId w15:val="{E171903A-E7AA-4A78-B2B9-7BEA977B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39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FF398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F398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398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F398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398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F398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39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3982"/>
    <w:rPr>
      <w:rFonts w:ascii="Calibri" w:eastAsia="Calibri" w:hAnsi="Calibri" w:cs="Times New Roman"/>
    </w:rPr>
  </w:style>
  <w:style w:type="paragraph" w:customStyle="1" w:styleId="Standard">
    <w:name w:val="Standard"/>
    <w:rsid w:val="00FF3982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3">
    <w:name w:val="WW8Num3"/>
    <w:rsid w:val="00FF3982"/>
    <w:pPr>
      <w:numPr>
        <w:numId w:val="1"/>
      </w:numPr>
    </w:pPr>
  </w:style>
  <w:style w:type="numbering" w:customStyle="1" w:styleId="WW8Num2">
    <w:name w:val="WW8Num2"/>
    <w:rsid w:val="00FF3982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FF398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68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8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8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8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86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86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DB588-7506-42A1-BBE4-91880AD5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2913</Words>
  <Characters>17482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Hallada Marek</dc:creator>
  <cp:keywords/>
  <dc:description/>
  <cp:lastModifiedBy>Elżbieta Lencka</cp:lastModifiedBy>
  <cp:revision>21</cp:revision>
  <dcterms:created xsi:type="dcterms:W3CDTF">2022-04-02T14:58:00Z</dcterms:created>
  <dcterms:modified xsi:type="dcterms:W3CDTF">2022-09-29T09:48:00Z</dcterms:modified>
</cp:coreProperties>
</file>